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D22CEF" w:rsidRDefault="00BB4AB9" w:rsidP="00D8656B">
      <w:pPr>
        <w:pStyle w:val="Odstavecseseznamem"/>
        <w:spacing w:before="120" w:after="240" w:line="276" w:lineRule="auto"/>
        <w:ind w:left="425"/>
        <w:jc w:val="center"/>
        <w:rPr>
          <w:b/>
          <w:bCs/>
        </w:rPr>
      </w:pPr>
      <w:r w:rsidRPr="00D22CEF">
        <w:rPr>
          <w:b/>
          <w:bCs/>
        </w:rPr>
        <w:t xml:space="preserve">Čestné prohlášení o </w:t>
      </w:r>
      <w:r w:rsidR="00D3628D">
        <w:rPr>
          <w:b/>
          <w:bCs/>
        </w:rPr>
        <w:t>nepodléhání omezujícím opatřením</w:t>
      </w:r>
    </w:p>
    <w:p w14:paraId="4799E05F" w14:textId="61B5D533" w:rsidR="00BB4AB9" w:rsidRPr="008A1114" w:rsidRDefault="00BB4AB9" w:rsidP="00AB0258">
      <w:pPr>
        <w:rPr>
          <w:b/>
        </w:rPr>
      </w:pPr>
      <w:r w:rsidRPr="008A1114">
        <w:t>Pro účely podání nabídky v zadávacím řízení na veřejnou zakázku s názvem</w:t>
      </w:r>
      <w:r w:rsidRPr="008A1114" w:rsidDel="00D5139A">
        <w:t xml:space="preserve"> </w:t>
      </w:r>
      <w:r w:rsidRPr="001672D1">
        <w:rPr>
          <w:b/>
          <w:bCs/>
        </w:rPr>
        <w:t>„</w:t>
      </w:r>
      <w:r w:rsidR="00AB0258" w:rsidRPr="00AB0258">
        <w:rPr>
          <w:b/>
          <w:bCs/>
        </w:rPr>
        <w:t>Čištění a opravy nádrží s vnitřní plastovou vrstvou, revize indikačních přístrojů ASF, servis nádrží a šachet včetně vybavení</w:t>
      </w:r>
      <w:r w:rsidRPr="0048348E">
        <w:t>“</w:t>
      </w:r>
      <w:r w:rsidRPr="008A1114">
        <w:rPr>
          <w:color w:val="000000"/>
        </w:rPr>
        <w:t xml:space="preserve">, 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ve smyslu ust.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w:t>
      </w:r>
      <w:proofErr w:type="gramStart"/>
      <w:r w:rsidRPr="00D8656B">
        <w:t>%  některým</w:t>
      </w:r>
      <w:proofErr w:type="gramEnd"/>
      <w:r w:rsidRPr="00D8656B">
        <w:t xml:space="preserve">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w:t>
      </w:r>
      <w:proofErr w:type="gramStart"/>
      <w:r w:rsidRPr="00D8656B">
        <w:t>nejsou  fyzickou</w:t>
      </w:r>
      <w:proofErr w:type="gramEnd"/>
      <w:r w:rsidRPr="00D8656B">
        <w:t xml:space="preserve">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w:t>
      </w:r>
      <w:proofErr w:type="gramStart"/>
      <w:r w:rsidRPr="00D8656B">
        <w:t>zakázky  se</w:t>
      </w:r>
      <w:proofErr w:type="gramEnd"/>
      <w:r w:rsidRPr="00D8656B">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48348E"/>
    <w:rsid w:val="00494ABC"/>
    <w:rsid w:val="004C34F3"/>
    <w:rsid w:val="005220FA"/>
    <w:rsid w:val="0059015C"/>
    <w:rsid w:val="00591232"/>
    <w:rsid w:val="005C0F13"/>
    <w:rsid w:val="005E70D7"/>
    <w:rsid w:val="006526AE"/>
    <w:rsid w:val="00687E9B"/>
    <w:rsid w:val="007F1096"/>
    <w:rsid w:val="009020E1"/>
    <w:rsid w:val="00936B4B"/>
    <w:rsid w:val="00A96D81"/>
    <w:rsid w:val="00AB0258"/>
    <w:rsid w:val="00B22438"/>
    <w:rsid w:val="00B409E0"/>
    <w:rsid w:val="00BB4AB9"/>
    <w:rsid w:val="00C877B6"/>
    <w:rsid w:val="00CD0654"/>
    <w:rsid w:val="00D3628D"/>
    <w:rsid w:val="00D70E48"/>
    <w:rsid w:val="00D8656B"/>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2DB9CF-B6F3-448E-82B6-FA7CE1984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593</Words>
  <Characters>3500</Characters>
  <Application>Microsoft Office Word</Application>
  <DocSecurity>0</DocSecurity>
  <Lines>29</Lines>
  <Paragraphs>8</Paragraphs>
  <ScaleCrop>false</ScaleCrop>
  <Company>ČEPRO, a.s.</Company>
  <LinksUpToDate>false</LinksUpToDate>
  <CharactersWithSpaces>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27</cp:revision>
  <dcterms:created xsi:type="dcterms:W3CDTF">2021-12-14T06:57:00Z</dcterms:created>
  <dcterms:modified xsi:type="dcterms:W3CDTF">2022-07-20T05:22:00Z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